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3248" w14:textId="08686079" w:rsidR="009F29EF" w:rsidRPr="009F29EF" w:rsidRDefault="009F29EF" w:rsidP="009F29EF">
      <w:pPr>
        <w:shd w:val="clear" w:color="auto" w:fill="F2CEED" w:themeFill="accent5" w:themeFillTint="33"/>
        <w:spacing w:after="0" w:line="240" w:lineRule="auto"/>
        <w:rPr>
          <w:rFonts w:ascii="Century Gothic" w:eastAsia="Times New Roman" w:hAnsi="Century Gothic" w:cs="Times New Roman"/>
          <w:color w:val="000000"/>
          <w:kern w:val="0"/>
          <w:sz w:val="28"/>
          <w:szCs w:val="28"/>
          <w:lang w:eastAsia="en-GB"/>
          <w14:ligatures w14:val="none"/>
        </w:rPr>
      </w:pPr>
      <w:r w:rsidRPr="009F29EF">
        <w:rPr>
          <w:rFonts w:ascii="Century Gothic" w:eastAsia="Times New Roman" w:hAnsi="Century Gothic" w:cs="Times New Roman"/>
          <w:color w:val="000000"/>
          <w:kern w:val="0"/>
          <w:sz w:val="28"/>
          <w:szCs w:val="28"/>
          <w:lang w:eastAsia="en-GB"/>
          <w14:ligatures w14:val="none"/>
        </w:rPr>
        <w:t>Ethical Use of AI &amp; Digital Tools – General Guidance</w:t>
      </w:r>
    </w:p>
    <w:p w14:paraId="7CC4A45A" w14:textId="77777777" w:rsidR="009F29EF" w:rsidRPr="009F29EF" w:rsidRDefault="009F29EF" w:rsidP="009F29EF">
      <w:pPr>
        <w:spacing w:after="0" w:line="240" w:lineRule="auto"/>
        <w:outlineLvl w:val="2"/>
        <w:rPr>
          <w:rFonts w:ascii="Century Gothic" w:eastAsia="Times New Roman" w:hAnsi="Century Gothic" w:cs="Times New Roman"/>
          <w:b/>
          <w:bCs/>
          <w:color w:val="000000"/>
          <w:kern w:val="0"/>
          <w:sz w:val="27"/>
          <w:szCs w:val="27"/>
          <w:lang w:eastAsia="en-GB"/>
          <w14:ligatures w14:val="none"/>
        </w:rPr>
      </w:pPr>
    </w:p>
    <w:p w14:paraId="518FD45D" w14:textId="1B007CE9"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r w:rsidRPr="0086181C">
        <w:rPr>
          <w:rFonts w:ascii="Century Gothic" w:eastAsia="Times New Roman" w:hAnsi="Century Gothic" w:cs="Times New Roman"/>
          <w:b/>
          <w:bCs/>
          <w:color w:val="000000"/>
          <w:kern w:val="0"/>
          <w:lang w:eastAsia="en-GB"/>
          <w14:ligatures w14:val="none"/>
        </w:rPr>
        <w:t>1. Why This Matters</w:t>
      </w:r>
    </w:p>
    <w:p w14:paraId="5474B5CB" w14:textId="160E777C" w:rsidR="009F29EF" w:rsidRPr="0086181C" w:rsidRDefault="009F29EF" w:rsidP="009F29EF">
      <w:p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AI and digital automation are increasingly present in education and youth work. We approach these tools with curiosity, responsibility and critical awareness.</w:t>
      </w:r>
    </w:p>
    <w:p w14:paraId="021FDA25" w14:textId="77777777"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p>
    <w:p w14:paraId="1C6F1AD1" w14:textId="73DD0BF0"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r w:rsidRPr="0086181C">
        <w:rPr>
          <w:rFonts w:ascii="Century Gothic" w:eastAsia="Times New Roman" w:hAnsi="Century Gothic" w:cs="Times New Roman"/>
          <w:b/>
          <w:bCs/>
          <w:color w:val="000000"/>
          <w:kern w:val="0"/>
          <w:lang w:eastAsia="en-GB"/>
          <w14:ligatures w14:val="none"/>
        </w:rPr>
        <w:t>2. Appropriate Use of AI</w:t>
      </w:r>
    </w:p>
    <w:p w14:paraId="6D64973E" w14:textId="77777777" w:rsidR="009F29EF" w:rsidRPr="0086181C" w:rsidRDefault="009F29EF" w:rsidP="009F29EF">
      <w:p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AI tools may be used to:</w:t>
      </w:r>
    </w:p>
    <w:p w14:paraId="470B2520" w14:textId="77777777" w:rsidR="009F29EF" w:rsidRPr="0086181C" w:rsidRDefault="009F29EF" w:rsidP="009F29EF">
      <w:pPr>
        <w:numPr>
          <w:ilvl w:val="0"/>
          <w:numId w:val="1"/>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support drafting and editing of texts</w:t>
      </w:r>
    </w:p>
    <w:p w14:paraId="119C235B" w14:textId="77777777" w:rsidR="009F29EF" w:rsidRPr="0086181C" w:rsidRDefault="009F29EF" w:rsidP="009F29EF">
      <w:pPr>
        <w:numPr>
          <w:ilvl w:val="0"/>
          <w:numId w:val="1"/>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assist with translation or accessibility</w:t>
      </w:r>
    </w:p>
    <w:p w14:paraId="2E050EA9" w14:textId="77777777" w:rsidR="009F29EF" w:rsidRPr="0086181C" w:rsidRDefault="009F29EF" w:rsidP="009F29EF">
      <w:pPr>
        <w:numPr>
          <w:ilvl w:val="0"/>
          <w:numId w:val="1"/>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support creative experimentation</w:t>
      </w:r>
    </w:p>
    <w:p w14:paraId="6F2186CC" w14:textId="65753A0B" w:rsidR="009F29EF" w:rsidRPr="0086181C" w:rsidRDefault="009F29EF" w:rsidP="009F29EF">
      <w:p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AI is a support tool — not a decision-maker.</w:t>
      </w:r>
    </w:p>
    <w:p w14:paraId="5E3CA0EE" w14:textId="77777777"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p>
    <w:p w14:paraId="743D3A51" w14:textId="1EE1F9E6"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r w:rsidRPr="0086181C">
        <w:rPr>
          <w:rFonts w:ascii="Century Gothic" w:eastAsia="Times New Roman" w:hAnsi="Century Gothic" w:cs="Times New Roman"/>
          <w:b/>
          <w:bCs/>
          <w:color w:val="000000"/>
          <w:kern w:val="0"/>
          <w:lang w:eastAsia="en-GB"/>
          <w14:ligatures w14:val="none"/>
        </w:rPr>
        <w:t>3. Boundaries</w:t>
      </w:r>
    </w:p>
    <w:p w14:paraId="6BF31927" w14:textId="77777777" w:rsidR="009F29EF" w:rsidRPr="0086181C" w:rsidRDefault="009F29EF" w:rsidP="009F29EF">
      <w:p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AI will </w:t>
      </w:r>
      <w:r w:rsidRPr="0086181C">
        <w:rPr>
          <w:rFonts w:ascii="Century Gothic" w:eastAsia="Times New Roman" w:hAnsi="Century Gothic" w:cs="Times New Roman"/>
          <w:b/>
          <w:bCs/>
          <w:color w:val="000000"/>
          <w:kern w:val="0"/>
          <w:sz w:val="22"/>
          <w:szCs w:val="22"/>
          <w:lang w:eastAsia="en-GB"/>
          <w14:ligatures w14:val="none"/>
        </w:rPr>
        <w:t>not</w:t>
      </w:r>
      <w:r w:rsidRPr="0086181C">
        <w:rPr>
          <w:rFonts w:ascii="Century Gothic" w:eastAsia="Times New Roman" w:hAnsi="Century Gothic" w:cs="Times New Roman"/>
          <w:color w:val="000000"/>
          <w:kern w:val="0"/>
          <w:sz w:val="22"/>
          <w:szCs w:val="22"/>
          <w:lang w:eastAsia="en-GB"/>
          <w14:ligatures w14:val="none"/>
        </w:rPr>
        <w:t> be used to:</w:t>
      </w:r>
    </w:p>
    <w:p w14:paraId="6818E460" w14:textId="77777777" w:rsidR="009F29EF" w:rsidRPr="0086181C" w:rsidRDefault="009F29EF" w:rsidP="009F29EF">
      <w:pPr>
        <w:numPr>
          <w:ilvl w:val="0"/>
          <w:numId w:val="2"/>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evaluate or select participants</w:t>
      </w:r>
    </w:p>
    <w:p w14:paraId="1DFE36C8" w14:textId="77777777" w:rsidR="009F29EF" w:rsidRPr="0086181C" w:rsidRDefault="009F29EF" w:rsidP="009F29EF">
      <w:pPr>
        <w:numPr>
          <w:ilvl w:val="0"/>
          <w:numId w:val="2"/>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replace human facilitation or judgment</w:t>
      </w:r>
    </w:p>
    <w:p w14:paraId="3C884C75" w14:textId="77777777" w:rsidR="009F29EF" w:rsidRPr="0086181C" w:rsidRDefault="009F29EF" w:rsidP="009F29EF">
      <w:pPr>
        <w:numPr>
          <w:ilvl w:val="0"/>
          <w:numId w:val="2"/>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generate or speak on behalf of youth voices</w:t>
      </w:r>
    </w:p>
    <w:p w14:paraId="4F76AE2E" w14:textId="27B18D61" w:rsidR="009F29EF" w:rsidRPr="0086181C" w:rsidRDefault="009F29EF" w:rsidP="009F29EF">
      <w:pPr>
        <w:numPr>
          <w:ilvl w:val="0"/>
          <w:numId w:val="2"/>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monitor or profile participants</w:t>
      </w:r>
    </w:p>
    <w:p w14:paraId="4ED911D8" w14:textId="77777777"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p>
    <w:p w14:paraId="1704F48E" w14:textId="56F6A306"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r w:rsidRPr="0086181C">
        <w:rPr>
          <w:rFonts w:ascii="Century Gothic" w:eastAsia="Times New Roman" w:hAnsi="Century Gothic" w:cs="Times New Roman"/>
          <w:b/>
          <w:bCs/>
          <w:color w:val="000000"/>
          <w:kern w:val="0"/>
          <w:lang w:eastAsia="en-GB"/>
          <w14:ligatures w14:val="none"/>
        </w:rPr>
        <w:t>4. Transparency &amp; Authorship</w:t>
      </w:r>
    </w:p>
    <w:p w14:paraId="342696E5" w14:textId="77777777" w:rsidR="009F29EF" w:rsidRPr="0086181C" w:rsidRDefault="009F29EF" w:rsidP="009F29EF">
      <w:pPr>
        <w:numPr>
          <w:ilvl w:val="0"/>
          <w:numId w:val="3"/>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Use of AI tools will be communicated when relevant</w:t>
      </w:r>
    </w:p>
    <w:p w14:paraId="4777A895" w14:textId="77777777" w:rsidR="009F29EF" w:rsidRPr="0086181C" w:rsidRDefault="009F29EF" w:rsidP="009F29EF">
      <w:pPr>
        <w:numPr>
          <w:ilvl w:val="0"/>
          <w:numId w:val="3"/>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Human contributors are always credited</w:t>
      </w:r>
    </w:p>
    <w:p w14:paraId="79E4B0CF" w14:textId="11C208AE" w:rsidR="009F29EF" w:rsidRPr="0086181C" w:rsidRDefault="009F29EF" w:rsidP="009F29EF">
      <w:pPr>
        <w:numPr>
          <w:ilvl w:val="0"/>
          <w:numId w:val="3"/>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Final responsibility lies with organisers and facilitators</w:t>
      </w:r>
    </w:p>
    <w:p w14:paraId="08C045A9" w14:textId="77777777"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p>
    <w:p w14:paraId="555FE78A" w14:textId="788E5E30" w:rsidR="009F29EF" w:rsidRPr="0086181C" w:rsidRDefault="009F29EF" w:rsidP="009F29EF">
      <w:pPr>
        <w:spacing w:after="0" w:line="240" w:lineRule="auto"/>
        <w:outlineLvl w:val="2"/>
        <w:rPr>
          <w:rFonts w:ascii="Century Gothic" w:eastAsia="Times New Roman" w:hAnsi="Century Gothic" w:cs="Times New Roman"/>
          <w:b/>
          <w:bCs/>
          <w:color w:val="000000"/>
          <w:kern w:val="0"/>
          <w:lang w:eastAsia="en-GB"/>
          <w14:ligatures w14:val="none"/>
        </w:rPr>
      </w:pPr>
      <w:r w:rsidRPr="0086181C">
        <w:rPr>
          <w:rFonts w:ascii="Century Gothic" w:eastAsia="Times New Roman" w:hAnsi="Century Gothic" w:cs="Times New Roman"/>
          <w:b/>
          <w:bCs/>
          <w:color w:val="000000"/>
          <w:kern w:val="0"/>
          <w:lang w:eastAsia="en-GB"/>
          <w14:ligatures w14:val="none"/>
        </w:rPr>
        <w:t>5. Bias &amp; Critical Awareness</w:t>
      </w:r>
    </w:p>
    <w:p w14:paraId="5B427A2A" w14:textId="77777777" w:rsidR="009F29EF" w:rsidRPr="0086181C" w:rsidRDefault="009F29EF" w:rsidP="009F29EF">
      <w:p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We acknowledge that AI systems can reproduce bias or exclusion. Users are encouraged to:</w:t>
      </w:r>
    </w:p>
    <w:p w14:paraId="20557FB7" w14:textId="77777777" w:rsidR="009F29EF" w:rsidRPr="0086181C" w:rsidRDefault="009F29EF" w:rsidP="009F29EF">
      <w:pPr>
        <w:numPr>
          <w:ilvl w:val="0"/>
          <w:numId w:val="4"/>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critically review outputs</w:t>
      </w:r>
    </w:p>
    <w:p w14:paraId="0B115CE3" w14:textId="77777777" w:rsidR="009F29EF" w:rsidRPr="0086181C" w:rsidRDefault="009F29EF" w:rsidP="009F29EF">
      <w:pPr>
        <w:numPr>
          <w:ilvl w:val="0"/>
          <w:numId w:val="4"/>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avoid unreflective reliance on AI</w:t>
      </w:r>
    </w:p>
    <w:p w14:paraId="2EC44CE8" w14:textId="0533DD93" w:rsidR="009F29EF" w:rsidRPr="0086181C" w:rsidRDefault="009F29EF" w:rsidP="009F29EF">
      <w:pPr>
        <w:numPr>
          <w:ilvl w:val="0"/>
          <w:numId w:val="4"/>
        </w:numPr>
        <w:spacing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prioritise context-sensitive and inclusive approaches</w:t>
      </w:r>
    </w:p>
    <w:p w14:paraId="79E3C1B1" w14:textId="77777777" w:rsidR="009F29EF" w:rsidRPr="0086181C" w:rsidRDefault="009F29EF" w:rsidP="009F29EF">
      <w:pPr>
        <w:shd w:val="clear" w:color="auto" w:fill="F2CEED" w:themeFill="accent5" w:themeFillTint="33"/>
        <w:spacing w:before="100" w:beforeAutospacing="1" w:after="100" w:afterAutospacing="1" w:line="240" w:lineRule="auto"/>
        <w:rPr>
          <w:rFonts w:ascii="Century Gothic" w:eastAsia="Times New Roman" w:hAnsi="Century Gothic" w:cs="Times New Roman"/>
          <w:color w:val="000000"/>
          <w:kern w:val="0"/>
          <w:lang w:eastAsia="en-GB"/>
          <w14:ligatures w14:val="none"/>
        </w:rPr>
      </w:pPr>
      <w:r w:rsidRPr="0086181C">
        <w:rPr>
          <w:rFonts w:ascii="Century Gothic" w:eastAsia="Times New Roman" w:hAnsi="Century Gothic" w:cs="Times New Roman"/>
          <w:color w:val="000000"/>
          <w:kern w:val="0"/>
          <w:lang w:eastAsia="en-GB"/>
          <w14:ligatures w14:val="none"/>
        </w:rPr>
        <w:t>Digital Tools &amp; Responsibility Overview (General Template)**</w:t>
      </w:r>
    </w:p>
    <w:tbl>
      <w:tblPr>
        <w:tblW w:w="11058" w:type="dxa"/>
        <w:tblCellSpacing w:w="15" w:type="dxa"/>
        <w:tblInd w:w="-993" w:type="dxa"/>
        <w:tblCellMar>
          <w:top w:w="15" w:type="dxa"/>
          <w:left w:w="15" w:type="dxa"/>
          <w:bottom w:w="15" w:type="dxa"/>
          <w:right w:w="15" w:type="dxa"/>
        </w:tblCellMar>
        <w:tblLook w:val="04A0" w:firstRow="1" w:lastRow="0" w:firstColumn="1" w:lastColumn="0" w:noHBand="0" w:noVBand="1"/>
      </w:tblPr>
      <w:tblGrid>
        <w:gridCol w:w="2552"/>
        <w:gridCol w:w="3260"/>
        <w:gridCol w:w="2694"/>
        <w:gridCol w:w="2552"/>
      </w:tblGrid>
      <w:tr w:rsidR="009F29EF" w:rsidRPr="0086181C" w14:paraId="32AF3025" w14:textId="77777777" w:rsidTr="009F29EF">
        <w:trPr>
          <w:tblHeader/>
          <w:tblCellSpacing w:w="15" w:type="dxa"/>
        </w:trPr>
        <w:tc>
          <w:tcPr>
            <w:tcW w:w="2507" w:type="dxa"/>
            <w:vAlign w:val="center"/>
            <w:hideMark/>
          </w:tcPr>
          <w:p w14:paraId="318AA694"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entury Gothic" w:eastAsia="Times New Roman" w:hAnsi="Century Gothic" w:cs="Times New Roman"/>
                <w:b/>
                <w:bCs/>
                <w:kern w:val="0"/>
                <w:sz w:val="22"/>
                <w:szCs w:val="22"/>
                <w:lang w:eastAsia="en-GB"/>
                <w14:ligatures w14:val="none"/>
              </w:rPr>
            </w:pPr>
            <w:r w:rsidRPr="0086181C">
              <w:rPr>
                <w:rFonts w:ascii="Century Gothic" w:eastAsia="Times New Roman" w:hAnsi="Century Gothic" w:cs="Times New Roman"/>
                <w:b/>
                <w:bCs/>
                <w:kern w:val="0"/>
                <w:sz w:val="22"/>
                <w:szCs w:val="22"/>
                <w:lang w:eastAsia="en-GB"/>
                <w14:ligatures w14:val="none"/>
              </w:rPr>
              <w:t>Tool Type</w:t>
            </w:r>
          </w:p>
        </w:tc>
        <w:tc>
          <w:tcPr>
            <w:tcW w:w="3230" w:type="dxa"/>
            <w:vAlign w:val="center"/>
            <w:hideMark/>
          </w:tcPr>
          <w:p w14:paraId="2F25383C"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entury Gothic" w:eastAsia="Times New Roman" w:hAnsi="Century Gothic" w:cs="Times New Roman"/>
                <w:b/>
                <w:bCs/>
                <w:kern w:val="0"/>
                <w:sz w:val="22"/>
                <w:szCs w:val="22"/>
                <w:lang w:eastAsia="en-GB"/>
                <w14:ligatures w14:val="none"/>
              </w:rPr>
            </w:pPr>
            <w:r w:rsidRPr="0086181C">
              <w:rPr>
                <w:rFonts w:ascii="Century Gothic" w:eastAsia="Times New Roman" w:hAnsi="Century Gothic" w:cs="Times New Roman"/>
                <w:b/>
                <w:bCs/>
                <w:kern w:val="0"/>
                <w:sz w:val="22"/>
                <w:szCs w:val="22"/>
                <w:lang w:eastAsia="en-GB"/>
                <w14:ligatures w14:val="none"/>
              </w:rPr>
              <w:t>Purpose</w:t>
            </w:r>
          </w:p>
        </w:tc>
        <w:tc>
          <w:tcPr>
            <w:tcW w:w="2664" w:type="dxa"/>
            <w:vAlign w:val="center"/>
            <w:hideMark/>
          </w:tcPr>
          <w:p w14:paraId="41EB1FAD"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entury Gothic" w:eastAsia="Times New Roman" w:hAnsi="Century Gothic" w:cs="Times New Roman"/>
                <w:b/>
                <w:bCs/>
                <w:kern w:val="0"/>
                <w:sz w:val="22"/>
                <w:szCs w:val="22"/>
                <w:lang w:eastAsia="en-GB"/>
                <w14:ligatures w14:val="none"/>
              </w:rPr>
            </w:pPr>
            <w:r w:rsidRPr="0086181C">
              <w:rPr>
                <w:rFonts w:ascii="Century Gothic" w:eastAsia="Times New Roman" w:hAnsi="Century Gothic" w:cs="Times New Roman"/>
                <w:b/>
                <w:bCs/>
                <w:kern w:val="0"/>
                <w:sz w:val="22"/>
                <w:szCs w:val="22"/>
                <w:lang w:eastAsia="en-GB"/>
                <w14:ligatures w14:val="none"/>
              </w:rPr>
              <w:t>Data Sensitivity</w:t>
            </w:r>
          </w:p>
        </w:tc>
        <w:tc>
          <w:tcPr>
            <w:tcW w:w="2507" w:type="dxa"/>
            <w:vAlign w:val="center"/>
            <w:hideMark/>
          </w:tcPr>
          <w:p w14:paraId="742B0D6E"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Century Gothic" w:eastAsia="Times New Roman" w:hAnsi="Century Gothic" w:cs="Times New Roman"/>
                <w:b/>
                <w:bCs/>
                <w:kern w:val="0"/>
                <w:sz w:val="22"/>
                <w:szCs w:val="22"/>
                <w:lang w:eastAsia="en-GB"/>
                <w14:ligatures w14:val="none"/>
              </w:rPr>
            </w:pPr>
            <w:r w:rsidRPr="0086181C">
              <w:rPr>
                <w:rFonts w:ascii="Century Gothic" w:eastAsia="Times New Roman" w:hAnsi="Century Gothic" w:cs="Times New Roman"/>
                <w:b/>
                <w:bCs/>
                <w:kern w:val="0"/>
                <w:sz w:val="22"/>
                <w:szCs w:val="22"/>
                <w:lang w:eastAsia="en-GB"/>
                <w14:ligatures w14:val="none"/>
              </w:rPr>
              <w:t>Responsibility</w:t>
            </w:r>
          </w:p>
        </w:tc>
      </w:tr>
      <w:tr w:rsidR="009F29EF" w:rsidRPr="0086181C" w14:paraId="4E638228" w14:textId="77777777" w:rsidTr="009F29EF">
        <w:trPr>
          <w:tblCellSpacing w:w="15" w:type="dxa"/>
        </w:trPr>
        <w:tc>
          <w:tcPr>
            <w:tcW w:w="2507" w:type="dxa"/>
            <w:vAlign w:val="center"/>
            <w:hideMark/>
          </w:tcPr>
          <w:p w14:paraId="05D6C699"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Email</w:t>
            </w:r>
          </w:p>
        </w:tc>
        <w:tc>
          <w:tcPr>
            <w:tcW w:w="3230" w:type="dxa"/>
            <w:vAlign w:val="center"/>
            <w:hideMark/>
          </w:tcPr>
          <w:p w14:paraId="1B8D962E"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Official communication</w:t>
            </w:r>
          </w:p>
        </w:tc>
        <w:tc>
          <w:tcPr>
            <w:tcW w:w="2664" w:type="dxa"/>
            <w:vAlign w:val="center"/>
            <w:hideMark/>
          </w:tcPr>
          <w:p w14:paraId="21C717D6"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Medium</w:t>
            </w:r>
          </w:p>
        </w:tc>
        <w:tc>
          <w:tcPr>
            <w:tcW w:w="2507" w:type="dxa"/>
            <w:vAlign w:val="center"/>
            <w:hideMark/>
          </w:tcPr>
          <w:p w14:paraId="6DEA3E43"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Organisation</w:t>
            </w:r>
          </w:p>
        </w:tc>
      </w:tr>
      <w:tr w:rsidR="009F29EF" w:rsidRPr="0086181C" w14:paraId="51178305" w14:textId="77777777" w:rsidTr="009F29EF">
        <w:trPr>
          <w:tblCellSpacing w:w="15" w:type="dxa"/>
        </w:trPr>
        <w:tc>
          <w:tcPr>
            <w:tcW w:w="2507" w:type="dxa"/>
            <w:vAlign w:val="center"/>
            <w:hideMark/>
          </w:tcPr>
          <w:p w14:paraId="5A850F12"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Messaging apps</w:t>
            </w:r>
          </w:p>
        </w:tc>
        <w:tc>
          <w:tcPr>
            <w:tcW w:w="3230" w:type="dxa"/>
            <w:vAlign w:val="center"/>
            <w:hideMark/>
          </w:tcPr>
          <w:p w14:paraId="3DA01DE0"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Urgent coordination</w:t>
            </w:r>
          </w:p>
        </w:tc>
        <w:tc>
          <w:tcPr>
            <w:tcW w:w="2664" w:type="dxa"/>
            <w:vAlign w:val="center"/>
            <w:hideMark/>
          </w:tcPr>
          <w:p w14:paraId="42A6E946"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Low</w:t>
            </w:r>
          </w:p>
        </w:tc>
        <w:tc>
          <w:tcPr>
            <w:tcW w:w="2507" w:type="dxa"/>
            <w:vAlign w:val="center"/>
            <w:hideMark/>
          </w:tcPr>
          <w:p w14:paraId="18500689"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Programme team</w:t>
            </w:r>
          </w:p>
        </w:tc>
      </w:tr>
      <w:tr w:rsidR="009F29EF" w:rsidRPr="0086181C" w14:paraId="728E9024" w14:textId="77777777" w:rsidTr="009F29EF">
        <w:trPr>
          <w:tblCellSpacing w:w="15" w:type="dxa"/>
        </w:trPr>
        <w:tc>
          <w:tcPr>
            <w:tcW w:w="2507" w:type="dxa"/>
            <w:vAlign w:val="center"/>
            <w:hideMark/>
          </w:tcPr>
          <w:p w14:paraId="0E0A3B13"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Cloud storage</w:t>
            </w:r>
          </w:p>
        </w:tc>
        <w:tc>
          <w:tcPr>
            <w:tcW w:w="3230" w:type="dxa"/>
            <w:vAlign w:val="center"/>
            <w:hideMark/>
          </w:tcPr>
          <w:p w14:paraId="3988FCBA"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Documents &amp; archives</w:t>
            </w:r>
          </w:p>
        </w:tc>
        <w:tc>
          <w:tcPr>
            <w:tcW w:w="2664" w:type="dxa"/>
            <w:vAlign w:val="center"/>
            <w:hideMark/>
          </w:tcPr>
          <w:p w14:paraId="57544795"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Medium–High</w:t>
            </w:r>
          </w:p>
        </w:tc>
        <w:tc>
          <w:tcPr>
            <w:tcW w:w="2507" w:type="dxa"/>
            <w:vAlign w:val="center"/>
            <w:hideMark/>
          </w:tcPr>
          <w:p w14:paraId="574AFB11"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Digital focal point</w:t>
            </w:r>
          </w:p>
        </w:tc>
      </w:tr>
      <w:tr w:rsidR="009F29EF" w:rsidRPr="0086181C" w14:paraId="0ED82CFF" w14:textId="77777777" w:rsidTr="009F29EF">
        <w:trPr>
          <w:tblCellSpacing w:w="15" w:type="dxa"/>
        </w:trPr>
        <w:tc>
          <w:tcPr>
            <w:tcW w:w="2507" w:type="dxa"/>
            <w:vAlign w:val="center"/>
            <w:hideMark/>
          </w:tcPr>
          <w:p w14:paraId="623CB488"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Online meeting tools</w:t>
            </w:r>
          </w:p>
        </w:tc>
        <w:tc>
          <w:tcPr>
            <w:tcW w:w="3230" w:type="dxa"/>
            <w:vAlign w:val="center"/>
            <w:hideMark/>
          </w:tcPr>
          <w:p w14:paraId="4DE69E32"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Meetings &amp; hybrid events</w:t>
            </w:r>
          </w:p>
        </w:tc>
        <w:tc>
          <w:tcPr>
            <w:tcW w:w="2664" w:type="dxa"/>
            <w:vAlign w:val="center"/>
            <w:hideMark/>
          </w:tcPr>
          <w:p w14:paraId="234FC75F"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Medium</w:t>
            </w:r>
          </w:p>
        </w:tc>
        <w:tc>
          <w:tcPr>
            <w:tcW w:w="2507" w:type="dxa"/>
            <w:vAlign w:val="center"/>
            <w:hideMark/>
          </w:tcPr>
          <w:p w14:paraId="46A04DDF"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Facilitators</w:t>
            </w:r>
          </w:p>
        </w:tc>
      </w:tr>
      <w:tr w:rsidR="009F29EF" w:rsidRPr="0086181C" w14:paraId="2B4481E1" w14:textId="77777777" w:rsidTr="009F29EF">
        <w:trPr>
          <w:tblCellSpacing w:w="15" w:type="dxa"/>
        </w:trPr>
        <w:tc>
          <w:tcPr>
            <w:tcW w:w="2507" w:type="dxa"/>
            <w:vAlign w:val="center"/>
            <w:hideMark/>
          </w:tcPr>
          <w:p w14:paraId="1642E2F8"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Collaborative boards</w:t>
            </w:r>
          </w:p>
        </w:tc>
        <w:tc>
          <w:tcPr>
            <w:tcW w:w="3230" w:type="dxa"/>
            <w:vAlign w:val="center"/>
            <w:hideMark/>
          </w:tcPr>
          <w:p w14:paraId="1F09FDA4"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Co-creation &amp; learning</w:t>
            </w:r>
          </w:p>
        </w:tc>
        <w:tc>
          <w:tcPr>
            <w:tcW w:w="2664" w:type="dxa"/>
            <w:vAlign w:val="center"/>
            <w:hideMark/>
          </w:tcPr>
          <w:p w14:paraId="5D54433C"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Low</w:t>
            </w:r>
          </w:p>
        </w:tc>
        <w:tc>
          <w:tcPr>
            <w:tcW w:w="2507" w:type="dxa"/>
            <w:vAlign w:val="center"/>
            <w:hideMark/>
          </w:tcPr>
          <w:p w14:paraId="04A439A8" w14:textId="77777777" w:rsidR="009F29EF" w:rsidRPr="0086181C" w:rsidRDefault="009F29EF" w:rsidP="009F29E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entury Gothic" w:eastAsia="Times New Roman" w:hAnsi="Century Gothic" w:cs="Times New Roman"/>
                <w:kern w:val="0"/>
                <w:sz w:val="22"/>
                <w:szCs w:val="22"/>
                <w:lang w:eastAsia="en-GB"/>
                <w14:ligatures w14:val="none"/>
              </w:rPr>
            </w:pPr>
            <w:r w:rsidRPr="0086181C">
              <w:rPr>
                <w:rFonts w:ascii="Century Gothic" w:eastAsia="Times New Roman" w:hAnsi="Century Gothic" w:cs="Times New Roman"/>
                <w:kern w:val="0"/>
                <w:sz w:val="22"/>
                <w:szCs w:val="22"/>
                <w:lang w:eastAsia="en-GB"/>
                <w14:ligatures w14:val="none"/>
              </w:rPr>
              <w:t>Facilitators</w:t>
            </w:r>
          </w:p>
        </w:tc>
      </w:tr>
    </w:tbl>
    <w:p w14:paraId="7E374FC7" w14:textId="77777777" w:rsidR="009F29EF" w:rsidRPr="0086181C" w:rsidRDefault="009F29EF" w:rsidP="0086181C">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Each organisation should:</w:t>
      </w:r>
    </w:p>
    <w:p w14:paraId="2AFC8A98" w14:textId="77777777" w:rsidR="009F29EF" w:rsidRPr="0086181C" w:rsidRDefault="009F29EF" w:rsidP="009F29EF">
      <w:pPr>
        <w:numPr>
          <w:ilvl w:val="0"/>
          <w:numId w:val="5"/>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define what tools are used and why</w:t>
      </w:r>
    </w:p>
    <w:p w14:paraId="355DA217" w14:textId="77777777" w:rsidR="009F29EF" w:rsidRPr="0086181C" w:rsidRDefault="009F29EF" w:rsidP="009F29EF">
      <w:pPr>
        <w:numPr>
          <w:ilvl w:val="0"/>
          <w:numId w:val="5"/>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assign responsibility</w:t>
      </w:r>
    </w:p>
    <w:p w14:paraId="4E5E916A" w14:textId="64C6C764" w:rsidR="0086181C" w:rsidRPr="0086181C" w:rsidRDefault="009F29EF" w:rsidP="0086181C">
      <w:pPr>
        <w:numPr>
          <w:ilvl w:val="0"/>
          <w:numId w:val="5"/>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86181C">
        <w:rPr>
          <w:rFonts w:ascii="Century Gothic" w:eastAsia="Times New Roman" w:hAnsi="Century Gothic" w:cs="Times New Roman"/>
          <w:color w:val="000000"/>
          <w:kern w:val="0"/>
          <w:sz w:val="22"/>
          <w:szCs w:val="22"/>
          <w:lang w:eastAsia="en-GB"/>
          <w14:ligatures w14:val="none"/>
        </w:rPr>
        <w:t>review tools periodically</w:t>
      </w:r>
    </w:p>
    <w:p w14:paraId="21F6C3C4" w14:textId="18B161CE" w:rsidR="0086181C" w:rsidRPr="0086181C" w:rsidRDefault="0086181C" w:rsidP="009F29EF">
      <w:pPr>
        <w:spacing w:after="0" w:line="240" w:lineRule="auto"/>
        <w:rPr>
          <w:rFonts w:ascii="Century Gothic" w:hAnsi="Century Gothic"/>
          <w:i/>
          <w:iCs/>
          <w:sz w:val="20"/>
          <w:szCs w:val="20"/>
        </w:rPr>
      </w:pPr>
      <w:r>
        <w:rPr>
          <w:rFonts w:ascii="Century Gothic" w:hAnsi="Century Gothic"/>
          <w:i/>
          <w:iCs/>
          <w:color w:val="000000"/>
          <w:sz w:val="20"/>
          <w:szCs w:val="20"/>
        </w:rPr>
        <w:t>Output of the project “Digital Navigator”, 2024-2025, co-f</w:t>
      </w:r>
      <w:r w:rsidRPr="00E3625C">
        <w:rPr>
          <w:rFonts w:ascii="Century Gothic" w:hAnsi="Century Gothic"/>
          <w:i/>
          <w:iCs/>
          <w:color w:val="000000"/>
          <w:sz w:val="20"/>
          <w:szCs w:val="20"/>
        </w:rPr>
        <w:t>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Pr="00E3625C">
        <w:rPr>
          <w:rFonts w:ascii="Century Gothic" w:hAnsi="Century Gothic"/>
          <w:i/>
          <w:iCs/>
          <w:noProof/>
          <w:sz w:val="20"/>
          <w:szCs w:val="20"/>
        </w:rPr>
        <w:drawing>
          <wp:anchor distT="0" distB="0" distL="114300" distR="114300" simplePos="0" relativeHeight="251659264" behindDoc="0" locked="0" layoutInCell="1" hidden="0" allowOverlap="1" wp14:anchorId="0F0ADBCA" wp14:editId="2E9E9293">
            <wp:simplePos x="0" y="0"/>
            <wp:positionH relativeFrom="column">
              <wp:posOffset>-47625</wp:posOffset>
            </wp:positionH>
            <wp:positionV relativeFrom="paragraph">
              <wp:posOffset>771525</wp:posOffset>
            </wp:positionV>
            <wp:extent cx="1950720" cy="435213"/>
            <wp:effectExtent l="0" t="0" r="0" b="0"/>
            <wp:wrapNone/>
            <wp:docPr id="2" name="image2.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2.png" descr="Blue text on a black background&#10;&#10;AI-generated content may be incorrect."/>
                    <pic:cNvPicPr preferRelativeResize="0"/>
                  </pic:nvPicPr>
                  <pic:blipFill>
                    <a:blip r:embed="rId5"/>
                    <a:srcRect/>
                    <a:stretch>
                      <a:fillRect/>
                    </a:stretch>
                  </pic:blipFill>
                  <pic:spPr>
                    <a:xfrm>
                      <a:off x="0" y="0"/>
                      <a:ext cx="1950720" cy="435213"/>
                    </a:xfrm>
                    <a:prstGeom prst="rect">
                      <a:avLst/>
                    </a:prstGeom>
                    <a:ln/>
                  </pic:spPr>
                </pic:pic>
              </a:graphicData>
            </a:graphic>
          </wp:anchor>
        </w:drawing>
      </w:r>
    </w:p>
    <w:sectPr w:rsidR="0086181C" w:rsidRPr="0086181C" w:rsidSect="0086181C">
      <w:pgSz w:w="11906" w:h="16838"/>
      <w:pgMar w:top="82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EF3"/>
    <w:multiLevelType w:val="multilevel"/>
    <w:tmpl w:val="0F1A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D4666"/>
    <w:multiLevelType w:val="multilevel"/>
    <w:tmpl w:val="D79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F09EB"/>
    <w:multiLevelType w:val="multilevel"/>
    <w:tmpl w:val="730E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A5651"/>
    <w:multiLevelType w:val="multilevel"/>
    <w:tmpl w:val="2F00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8220E"/>
    <w:multiLevelType w:val="multilevel"/>
    <w:tmpl w:val="4CC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872000">
    <w:abstractNumId w:val="0"/>
  </w:num>
  <w:num w:numId="2" w16cid:durableId="1844514962">
    <w:abstractNumId w:val="3"/>
  </w:num>
  <w:num w:numId="3" w16cid:durableId="1797291409">
    <w:abstractNumId w:val="4"/>
  </w:num>
  <w:num w:numId="4" w16cid:durableId="1546796267">
    <w:abstractNumId w:val="2"/>
  </w:num>
  <w:num w:numId="5" w16cid:durableId="187407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EF"/>
    <w:rsid w:val="002D341F"/>
    <w:rsid w:val="00840182"/>
    <w:rsid w:val="0086181C"/>
    <w:rsid w:val="009F29EF"/>
    <w:rsid w:val="00B5175D"/>
    <w:rsid w:val="00B6710E"/>
    <w:rsid w:val="00C50190"/>
    <w:rsid w:val="00CD06AE"/>
    <w:rsid w:val="00D660B1"/>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1A66"/>
  <w15:chartTrackingRefBased/>
  <w15:docId w15:val="{93F25B7B-921F-C240-AC80-6B4A0431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2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2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EF"/>
    <w:rPr>
      <w:rFonts w:eastAsiaTheme="majorEastAsia" w:cstheme="majorBidi"/>
      <w:color w:val="272727" w:themeColor="text1" w:themeTint="D8"/>
    </w:rPr>
  </w:style>
  <w:style w:type="paragraph" w:styleId="Title">
    <w:name w:val="Title"/>
    <w:basedOn w:val="Normal"/>
    <w:next w:val="Normal"/>
    <w:link w:val="TitleChar"/>
    <w:uiPriority w:val="10"/>
    <w:qFormat/>
    <w:rsid w:val="009F2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EF"/>
    <w:pPr>
      <w:spacing w:before="160"/>
      <w:jc w:val="center"/>
    </w:pPr>
    <w:rPr>
      <w:i/>
      <w:iCs/>
      <w:color w:val="404040" w:themeColor="text1" w:themeTint="BF"/>
    </w:rPr>
  </w:style>
  <w:style w:type="character" w:customStyle="1" w:styleId="QuoteChar">
    <w:name w:val="Quote Char"/>
    <w:basedOn w:val="DefaultParagraphFont"/>
    <w:link w:val="Quote"/>
    <w:uiPriority w:val="29"/>
    <w:rsid w:val="009F29EF"/>
    <w:rPr>
      <w:i/>
      <w:iCs/>
      <w:color w:val="404040" w:themeColor="text1" w:themeTint="BF"/>
    </w:rPr>
  </w:style>
  <w:style w:type="paragraph" w:styleId="ListParagraph">
    <w:name w:val="List Paragraph"/>
    <w:basedOn w:val="Normal"/>
    <w:uiPriority w:val="34"/>
    <w:qFormat/>
    <w:rsid w:val="009F29EF"/>
    <w:pPr>
      <w:ind w:left="720"/>
      <w:contextualSpacing/>
    </w:pPr>
  </w:style>
  <w:style w:type="character" w:styleId="IntenseEmphasis">
    <w:name w:val="Intense Emphasis"/>
    <w:basedOn w:val="DefaultParagraphFont"/>
    <w:uiPriority w:val="21"/>
    <w:qFormat/>
    <w:rsid w:val="009F29EF"/>
    <w:rPr>
      <w:i/>
      <w:iCs/>
      <w:color w:val="0F4761" w:themeColor="accent1" w:themeShade="BF"/>
    </w:rPr>
  </w:style>
  <w:style w:type="paragraph" w:styleId="IntenseQuote">
    <w:name w:val="Intense Quote"/>
    <w:basedOn w:val="Normal"/>
    <w:next w:val="Normal"/>
    <w:link w:val="IntenseQuoteChar"/>
    <w:uiPriority w:val="30"/>
    <w:qFormat/>
    <w:rsid w:val="009F2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EF"/>
    <w:rPr>
      <w:i/>
      <w:iCs/>
      <w:color w:val="0F4761" w:themeColor="accent1" w:themeShade="BF"/>
    </w:rPr>
  </w:style>
  <w:style w:type="character" w:styleId="IntenseReference">
    <w:name w:val="Intense Reference"/>
    <w:basedOn w:val="DefaultParagraphFont"/>
    <w:uiPriority w:val="32"/>
    <w:qFormat/>
    <w:rsid w:val="009F29EF"/>
    <w:rPr>
      <w:b/>
      <w:bCs/>
      <w:smallCaps/>
      <w:color w:val="0F4761" w:themeColor="accent1" w:themeShade="BF"/>
      <w:spacing w:val="5"/>
    </w:rPr>
  </w:style>
  <w:style w:type="paragraph" w:styleId="NormalWeb">
    <w:name w:val="Normal (Web)"/>
    <w:basedOn w:val="Normal"/>
    <w:uiPriority w:val="99"/>
    <w:semiHidden/>
    <w:unhideWhenUsed/>
    <w:rsid w:val="009F29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F29EF"/>
  </w:style>
  <w:style w:type="character" w:styleId="Strong">
    <w:name w:val="Strong"/>
    <w:basedOn w:val="DefaultParagraphFont"/>
    <w:uiPriority w:val="22"/>
    <w:qFormat/>
    <w:rsid w:val="009F2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Ristic</dc:creator>
  <cp:keywords/>
  <dc:description/>
  <cp:lastModifiedBy>Jelena Ristic</cp:lastModifiedBy>
  <cp:revision>2</cp:revision>
  <dcterms:created xsi:type="dcterms:W3CDTF">2026-01-05T08:18:00Z</dcterms:created>
  <dcterms:modified xsi:type="dcterms:W3CDTF">2026-01-05T21:17:00Z</dcterms:modified>
</cp:coreProperties>
</file>